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各省、自治区、直辖市、计划单列市财政厅(局)、安全生产监督管理局，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"https://baike.so.com/"/doc/1512747-1599369.html/""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新疆生产建设兵团财务局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、安全生产监督管理局，有关中央管理企业: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为了建立企业安全生产投入长效机制，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"https://baike.so.com/"/doc/5967543-6180499.html/""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社会公共利益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"https://baike.so.com/"/doc/5354783-5590247.html/""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》等有关法律法规和国务院有关决定，财政部、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"https://baike.so.com/"/doc/5376042-5612155.html/""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国家安全生产监督管理总局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联合制定了《企业安全生产费用提取和使用管理办法》。现印发给你们，请遵照执行。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附件:企业安全生产费用提取和使用管理办法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国家安全生产监督管理总局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二0一二年二月十四日</w:t>
      </w:r>
    </w:p>
    <w:p>
      <w:pPr>
        <w:jc w:val="both"/>
        <w:rPr>
          <w:rFonts w:ascii="Arial" w:hAnsi="Arial" w:eastAsia="宋体" w:cs="Arial"/>
          <w:b/>
          <w:bCs/>
          <w:i w:val="0"/>
          <w:iCs w:val="0"/>
          <w:caps w:val="0"/>
          <w:color w:val="333333"/>
          <w:spacing w:val="0"/>
          <w:sz w:val="36"/>
          <w:szCs w:val="36"/>
          <w:shd w:val="clear" w:fill="FFFFFF"/>
        </w:rPr>
      </w:pPr>
    </w:p>
    <w:p>
      <w:pPr>
        <w:jc w:val="both"/>
        <w:rPr>
          <w:rFonts w:ascii="Arial" w:hAnsi="Arial" w:eastAsia="宋体" w:cs="Arial"/>
          <w:b/>
          <w:bCs/>
          <w:i w:val="0"/>
          <w:iCs w:val="0"/>
          <w:caps w:val="0"/>
          <w:color w:val="333333"/>
          <w:spacing w:val="0"/>
          <w:sz w:val="36"/>
          <w:szCs w:val="36"/>
          <w:shd w:val="clear" w:fill="FFFFFF"/>
        </w:rPr>
      </w:pPr>
    </w:p>
    <w:p>
      <w:pPr>
        <w:jc w:val="both"/>
        <w:rPr>
          <w:rFonts w:ascii="Arial" w:hAnsi="Arial" w:eastAsia="宋体" w:cs="Arial"/>
          <w:b/>
          <w:bCs/>
          <w:i w:val="0"/>
          <w:iCs w:val="0"/>
          <w:caps w:val="0"/>
          <w:color w:val="333333"/>
          <w:spacing w:val="0"/>
          <w:sz w:val="36"/>
          <w:szCs w:val="36"/>
          <w:shd w:val="clear" w:fill="FFFFFF"/>
        </w:rPr>
      </w:pPr>
    </w:p>
    <w:p>
      <w:pPr>
        <w:jc w:val="both"/>
        <w:rPr>
          <w:rFonts w:ascii="Arial" w:hAnsi="Arial" w:eastAsia="宋体" w:cs="Arial"/>
          <w:b/>
          <w:bCs/>
          <w:i w:val="0"/>
          <w:iCs w:val="0"/>
          <w:caps w:val="0"/>
          <w:color w:val="333333"/>
          <w:spacing w:val="0"/>
          <w:sz w:val="36"/>
          <w:szCs w:val="36"/>
          <w:shd w:val="clear" w:fill="FFFFFF"/>
        </w:rPr>
      </w:pPr>
    </w:p>
    <w:p>
      <w:pPr>
        <w:jc w:val="both"/>
        <w:rPr>
          <w:rFonts w:ascii="Arial" w:hAnsi="Arial" w:eastAsia="宋体" w:cs="Arial"/>
          <w:b/>
          <w:bCs/>
          <w:i w:val="0"/>
          <w:iCs w:val="0"/>
          <w:caps w:val="0"/>
          <w:color w:val="333333"/>
          <w:spacing w:val="0"/>
          <w:sz w:val="36"/>
          <w:szCs w:val="36"/>
          <w:shd w:val="clear" w:fill="FFFFFF"/>
        </w:rPr>
      </w:pPr>
    </w:p>
    <w:p>
      <w:pPr>
        <w:jc w:val="both"/>
        <w:rPr>
          <w:rFonts w:ascii="Arial" w:hAnsi="Arial" w:eastAsia="宋体" w:cs="Arial"/>
          <w:b/>
          <w:bCs/>
          <w:i w:val="0"/>
          <w:iCs w:val="0"/>
          <w:caps w:val="0"/>
          <w:color w:val="333333"/>
          <w:spacing w:val="0"/>
          <w:sz w:val="36"/>
          <w:szCs w:val="36"/>
          <w:shd w:val="clear" w:fill="FFFFFF"/>
        </w:rPr>
      </w:pPr>
    </w:p>
    <w:p>
      <w:pPr>
        <w:jc w:val="both"/>
        <w:rPr>
          <w:rFonts w:ascii="Arial" w:hAnsi="Arial" w:eastAsia="宋体" w:cs="Arial"/>
          <w:b/>
          <w:bCs/>
          <w:i w:val="0"/>
          <w:iCs w:val="0"/>
          <w:caps w:val="0"/>
          <w:color w:val="333333"/>
          <w:spacing w:val="0"/>
          <w:sz w:val="36"/>
          <w:szCs w:val="36"/>
          <w:shd w:val="clear" w:fill="FFFFFF"/>
        </w:rPr>
      </w:pPr>
    </w:p>
    <w:p>
      <w:pPr>
        <w:jc w:val="both"/>
        <w:rPr>
          <w:rFonts w:ascii="Arial" w:hAnsi="Arial" w:eastAsia="宋体" w:cs="Arial"/>
          <w:b/>
          <w:bCs/>
          <w:i w:val="0"/>
          <w:iCs w:val="0"/>
          <w:caps w:val="0"/>
          <w:color w:val="333333"/>
          <w:spacing w:val="0"/>
          <w:sz w:val="36"/>
          <w:szCs w:val="36"/>
          <w:shd w:val="clear" w:fill="FFFFFF"/>
        </w:rPr>
      </w:pPr>
    </w:p>
    <w:p>
      <w:pPr>
        <w:rPr>
          <w:rFonts w:hint="eastAsia"/>
        </w:rPr>
      </w:pPr>
    </w:p>
    <w:p/>
    <w:p/>
    <w:p>
      <w:pPr>
        <w:jc w:val="center"/>
        <w:rPr>
          <w:rFonts w:hint="eastAsia"/>
          <w:b/>
          <w:bCs/>
          <w:sz w:val="36"/>
          <w:szCs w:val="36"/>
        </w:rPr>
      </w:pPr>
      <w:r>
        <w:rPr>
          <w:b/>
          <w:bCs/>
          <w:sz w:val="36"/>
          <w:szCs w:val="36"/>
        </w:rPr>
        <w:t>《企业安全生产费用提取和使用管理办法》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第一条为了建立企业安全生产投入长效机制，加强安全生产费用管理，保障企业安全生产资金投入，维护企业、职工以及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"https://baike.so.com/"/doc/5967543-6180499.html/""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社会公共利益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"https://baike.so.com/"/doc/5354783-5590247.html/""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》等有关法律法规和《国务院关于加强安全生产工作的决定》(国发〔2004〕2号)和《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"https://baike.so.com/"/doc/6237988-6451355.html/""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国务院关于进一步加强企业安全生产工作的通知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》(国发〔2010〕23号)，制定本办法。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在中华人民共和国境内直接从事煤炭生产、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"https://baike.so.com/"/doc/5633026-5845650.html/""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非煤矿山</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开采、建设工程施工、危险品生产与储存、交通运输、烟花爆竹生产、冶金、机械制造、武器装备研制生产与试验(含民用航空及核燃料)的企业以及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"https://baike.so.com/"/doc/2949911-3112215.html/""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其他经济组织</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(以下简称企业)适用本办法。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"https://baike.so.com/"/doc/1859042-1966145.html/""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安全生产费用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(以下简称安全费用)是指企业按照规定标准提取在成本中列支，专门用于完善和改进企业或者项目安全生产条件的资金。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安全费用按照"企业提取、政府监管、确保需要、规范使用"的原则进行管理。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本办法下列用语的含义是: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煤炭生产是指煤炭资源开采作业有关活动。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非煤矿山开采是指石油和天然气、煤层气(地面开采)、金属矿、非金属矿及其他矿产资源的勘探作业和生产、选矿、闭坑及尾矿库运行、闭库等有关活动。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建设工程是指土木工程、建筑工程、井巷工程、线路管道和设备安装及装修工程的新建、扩建、改建以及矿山建设。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危险品是指列入国家标准《危险货物品名表》(GB12268)和《危险化学品目录》的物品。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烟花爆竹是指烟花爆竹制品和用于生产烟花爆竹的民用黑火药、烟火药、引火线等物品。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包括道路运输、水路运输、铁路运输、管道运输。道路运输是指以机动车为交通工具的旅客和货物运输;水路运输是指以运输船舶为工具的旅客和货物运输及港口装卸、堆存;铁路运输是指以火车为工具的旅客和货物运输(包括高铁和城际铁路);管道运输是指以管道为工具的液体和气体物资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冶金是指金属矿物的冶炼以及压延加工有关活动，包括:黑色金属、有色金属、黄金等的冶炼生产和加工处理活动，以及炭素、耐火材料等与主工艺流程配套的辅助工艺环节的生产。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机械制造是指各种动力机械、冶金矿山机械、运输机械、农业机械、工具、仪器、仪表、特种设备、大中型船舶、石油炼化装备及其他机械设备的制造活动。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武器装备研制生产与试验，包括武器装备和弹药的科研、生产、试验、储运、销毁、维修保障等。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3354410-3531985-2_2"/>
      <w:bookmarkEnd w:id="0"/>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"https://baike.so.com/doc/3354410-3531985.html"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折叠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第二章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煤炭生产企业依据开采的原煤产量按月提取。各类煤矿原煤单位产量安全费用提取标准如下: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(一)煤(岩)与瓦斯(二氧化碳)突出矿井、高瓦斯矿井吨煤30元;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(二)其他井工矿吨煤15元;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(三)露天矿吨煤5元。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矿井瓦斯等级划分按现行《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"https://baike.so.com/"/doc/5345186-5580631.html/""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煤矿安全规程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》和《矿井瓦斯等级鉴定规范》的规定执行。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非煤矿山开采企业依据开采的原矿产量按月提取。各类矿山原矿单位产量安全费用提取标准如下: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(一)石油，每吨原油17元;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(二)天然气、煤层气(地面开采)，每千立方米原气5元;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(三)金属矿山，其中露天矿山每吨5元，地下矿山每吨10元;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(四)核工业矿山，每吨25元;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(五)非金属矿山，其中露天矿山每吨2元，地下矿山每吨4元;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(六)小型露天采石场，即年采剥总量50万吨以下，且最大开采高度不超过50米，产品用于建筑、铺路的山坡型露天采石场，每吨1元;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(七)尾矿库按入库尾矿量计算，三等及三等以上尾矿库每吨1元，四等及五等尾矿库每吨1.5元。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本办法下发之日以前已经实施闭库的尾矿库，按照已堆存尾砂的有效库容大小提取，库容100万立方米以下的，每年提取5万元;超过100万立方米的，每增加100万立方米增加3万元，但每年提取额最高不超过30万元。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原矿产量不含金属、非金属矿山尾矿库和废石场中用于综合利用的尾砂和低品位矿石。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地质勘探单位安全费用按地质勘查项目或者工程总费用的2%提取。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建设工程施工企业以建筑安装工程造价为计提依据。各建设工程类别安全费用提取标准如下: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(一)矿山工程为2.5%;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(二)房屋建筑工程、水利水电工程、电力工程、铁路工程、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"https://baike.so.com/"/doc/6905883-7127727.html/""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城市轨道交通工程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为2.0%;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(三)市政公用工程、冶炼工程、机电安装工程、化工石油工程、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"https://baike.so.com/"/doc/1275877-1349142.html/""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港口与航道工程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、公路工程、通信工程为1.5%。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建设工程施工企业提取的安全费用列入工程造价，在竞标时，不得删减，列入标外管理。国家对基本建设投资概算另有规定的，从其规定。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总包单位应当将安全费用按比例直接支付分包单位并监督使用，分包单位不再重复提取。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危险品生产与储存企业以上年度实际营业收入为计提依据，采取超额累退方式按照以下标准平均逐月提取: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(一)营业收入不超过1000万元的，按照4%提取;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(二)营业收入超过1000万元至1亿元的部分，按照2%提取;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(四)营业收入超过10亿元的部分，按照0.2%提取。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交通运输企业以上年度实际营业收入为计提依据，按照以下标准平均逐月提取: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(一)普通货运业务按照1%提取;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(二)客运业务、管道运输、危险品等特殊货运业务按照1.5%提取。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冶金企业以上年度实际营业收入为计提依据，采取超额累退方式按照以下标准平均逐月提取: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(一)营业收入不超过1000万元的，按照3%提取;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(二)营业收入超过1000万元至1亿元的部分，按照1.5%提取;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(四)营业收入超过10亿元至50亿元的部分，按照0.2%提取;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(五)营业收入超过50亿元至100亿元的部分，按照0.1%提取;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(六)营业收入超过100亿元的部分，按照0.05%提取。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机械制造企业以上年度实际营业收入为计提依据，采取超额累退方式按照以下标准平均逐月提取: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(一)营业收入不超过1000万元的，按照2%提取;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(二)营业收入超过1000万元至1亿元的部分，按照1%提取;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(三)营业收入超过1亿元至10亿元的部分，按照0.2%提取;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(四)营业收入超过10亿元至50亿元的部分，按照0.1%提取;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(五)营业收入超过50亿元的部分，按照0.05%提取。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烟花爆竹生产企业以上年度实际营业收入为计提依据，采取超额累退方式按照以下标准平均逐月提取: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(一)营业收入不超过200万元的，按照3.5%提取;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(二)营业收入超过200万元至500万元的部分，按照3%提取;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(三)营业收入超过500万元至1000万元的部分，按照2.5%提取;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(四)营业收入超过1000万元的部分，按照2%提取。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武器装备研制生产与试验企业以上年度军品实际营业收入为计提依据，采取超额累退方式按照以下标准平均逐月提取: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(一)火炸药及其制品研制、生产与试验企业(包括:含能材料，炸药、火药、推进剂，发动机，弹箭，引信、火工品等):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1.营业收入不超过1000万元的，按照5%提取;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2.营业收入超过1000万元至1亿元的部分，按照3%提取;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3.营业收入超过1亿元至10亿元的部分，按照1%提取;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4.营业收入超过10亿元的部分，按照0.5%提取。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(二)核装备及核燃料研制、生产与试验企业: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1.营业收入不超过1000万元的，按照3%提取;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2.营业收入超过1000万元至1亿元的部分，按照2%提取;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4.营业收入超过10亿元的部分，按照0.2%提取。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5.核工程按照3%提取(以工程造价为计提依据，在竞标时，列为标外管理)。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(三)军用舰船(含修理)研制、生产与试验企业: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1.营业收入不超过1000万元的，按照2.5%提取;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2.营业收入超过1000万元至1亿元的部分，按照1.75%提取;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3.营业收入超过1亿元至10亿元的部分，按照0.8%提取;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4.营业收入超过10亿元的部分，按照0.4%提取。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(四)飞船、卫星、军用飞机、坦克车辆、火炮、轻武器、大型天线等产品的总体、部分和元器件研制、生产与试验企业: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1.营业收入不超过1000万元的，按照2%提取;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2.营业收入超过1000万元至1亿元的部分，按照1.5%提取;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4.营业收入超过10亿元至100亿元的部分，按照0.2%提取;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5.营业收入超过100亿元的部分，按照0.1%提取。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(五)其他军用危险品研制、生产与试验企业: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1.营业收入不超过1000万元的，按照4%提取;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2.营业收入超过1000万元至1亿元的部分，按照2%提取;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4.营业收入超过10亿元的部分，按照0.2%提取。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中小微型企业和大型企业上年末安全费用结余分别达到本企业上年度营业收入的5%和1.5%时，经当地县级以上安全生产监督管理部门、煤矿安全监察机构商财政部门同意，企业本年度可以缓提或者少提安全费用。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企业规模划分标准按照工业和信息化部、国家统计局、国家发展和改革委员会、财政部《关于印发中小企业划型标准规定的通知》(工信部联企业〔2011〕300号)规定执行。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企业在上述标准的基础上，根据安全生产实际需要，可适当提高安全费用提取标准。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本办法公布前，各省级政府已制定下发企业安全费用提取使用办法的，其提取标准如果低于本办法规定的标准，应当按照本办法进行调整;如果高于本办法规定的标准，按照原标准执行。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新建企业和投产不足一年的企业以当年实际营业收入为提取依据，按月计提安全费用。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混业经营企业，如能按业务类别分别核算的，则以各业务营业收入为计提依据，按上述标准分别提取安全费用;如不能分别核算的，则以全部业务收入为计提依据，按主营业务计提标准提取安全费用。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 w:name="3354410-3531985-2_3"/>
      <w:bookmarkEnd w:id="1"/>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"https://baike.so.com/doc/3354410-3531985.html"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折叠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第三章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煤炭生产企业安全费用应当按照以下范围使用: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"https://baike.so.com/"/doc/5942513-26054866.html/""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煤与瓦斯突出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及高瓦斯矿井落实"两个四位一体"综合防突措施支出，包括瓦斯区域预抽、保护层开采区域防突措施、开展突出区域和局部预测、实施局部补充防突措施、更新改造防突设备和设施、建立突出防治实验室等支出;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煤矿安全生产改造和重大隐患治理支出，包括"一通三防"(通风，防瓦斯、防煤尘、防灭火)、防治水、供电、运输等系统设备改造和灾害治理工程，实施煤矿机械化改造，实施矿压(冲击地压)、热害、露天矿边坡治理、采空区治理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(三)完善煤矿井下监测监控、人员定位、紧急避险、压风自救、供水施救和通信联络安全避险"六大系统"支出，应急救援技术装备、设施配置和维护保养支出，事故逃生和紧急避难设施设备的配置和应急演练支出;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(四)开展重大危险源和事故隐患评估、监控和整改支出;</w:t>
      </w: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"https://baike.so.com/"/doc/6755334-6969917.html/""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安全生产检查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、评价(不包括新建、改建、扩建项目安全评价)、咨询、标准化建设支出;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(八)安全生产适用新技术、新工艺、新标准、新装备的推广应用支出;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非煤矿山开采企业安全费用应当按照以下范围使用: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(一)完善、改造和维护安全防护设施设备(不含"三同时"要求初期投入的安全设施)和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"https://baike.so.com/"/doc/2007527-2124422.html/""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重大安全隐患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治理支出，包括矿山综合防尘、防灭火、防治水、危险气体监测、通风系统、支护及防治边帮滑坡设备、机电设备、供配电系统、运输(提升)系统和尾矿库等完善、改造和维护支出以及实施地压监测监控、露天矿边坡治理、采空区治理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非煤矿山监测监控、人员定位、紧急避险、压风自救、供水施救和通信联络等安全避险"六大系统"支出，完善尾矿库全过程在线监控系统和海上石油开采出海人员动态跟踪系统支出，应急救援技术装备、设施配置及维护保养支出，事故逃生和紧急避难设施设备的配置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(四)安全生产检查、评价(不包括新建、改建、扩建项目安全评价)、咨询、标准化建设支出;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(七)安全生产适用的新装备、新技术、新工艺、新标准的推广应用支出;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(九)尾矿库闭库及闭库后维护费用支出;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(十)地质勘探单位野外应急食品、应急器械、应急药品支出;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建设工程施工企业安全费用应当按照以下范围使用: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改造和维护安全防护设施设备(不含"三同时"要求初期投入的安全设施)支出，包括施工现场临时用电系统、洞口、临边、机械设备、高处作业防护、交叉作业防护、防火、防爆、防尘、防毒、防雷、防台风、防地质灾害、地下工程有害气体监测、通风、临时安全防护等设施设备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(四)安全生产检查、咨询、评价(不包括新建、改建、扩建项目安全评价)和标准化建设支出;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(七)安全生产适用的新技术、新装备、新工艺、新标准的推广应用支出;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危险品生产与储存企业安全费用应当按照以下范围使用: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或者隔离操作等设施设备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(四)安全生产检查、评价(不包括改建、新建、扩建项目安全评价)、咨询和标准化建设支出;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(七)安全生产适用的新工艺、新标准、新技术、新装备的推广应用支出;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交通运输企业安全费用应当按照以下范围使用: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改造和维护安全防护设施设备支出(不含"三同时"要求初期投入的安全设施)，包括道路、水路、铁路、管道运输设施设备和装卸工具安全状况检测及维护系统、运输设施设备和装卸工具附属安全设备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(二)购置、安装和使用具有行驶记录功能的车辆卫星定位装置、船舶通信导航定位和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"https://baike.so.com/"/doc/1309132-1384118.html/""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自动识别系统</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、电子海图等支出;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"https://baike.so.com/"/doc/6755334-6969917.html/""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安全生产检查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、评价(不包括新建、改建、扩建项目安全评价)、咨询及标准化建设支出;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冶金企业安全费用应当按照以下范围使用: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改造、维护安全防护设施设备支出(不含"三同时"要求初期投入的安全设施)，包括车间、站、库房等作业场所的监控、监测、防火、防爆、防坠落、防尘、防毒、防噪声与振动、防辐射和隔离操作等设施设备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(四)安全生产检查、评价(不包括新建、改建、扩建项目安全评价)和咨询及标准化建设支出;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(七)安全生产适用的新技术、新工艺、新标准、新装备的推广应用支出;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机械制造企业安全费用应当按照以下范围使用: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改造及维护安全防护设施设备支出(不含"三同时"要求初期投入的安全设施)，包括生产作业场所的防火、防爆、防坠落、防毒、防静电、防腐、防尘、防噪声与振动、防辐射或者隔离操作等设施设备支出，大型起重机械安装安全监控管理系统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(四)安全生产检查、评价(不包括新建、改建、扩建项目安全评价)、标准化建设和咨询支出;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(七)安全生产适用的新技术、新标准、新工艺、新装备的推广应用;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烟花爆竹生产企业安全费用应当按照以下范围使用: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(一)完善、改造和维护安全设备设施支出(不含"三同时"要求初期投入的安全设施);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(二)配备、维护、保养防爆机械电器设备支出;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(五)安全生产检查、评价(不包括新建、扩建、改建项目安全评价)、咨询和标准化建设支出;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(八)安全生产适用新技术、新标准、新装备、新工艺的推广应用支出;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武器装备研制生产与试验企业安全费用应当按照以下范围使用: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改造、完善和维护安全防护设施设备支出(不含"三同时"要求初期投入的安全设施)，包括研究室、车间、库房、储罐区、外场试验区等作业场所的监控、监测、防触电、防坠落、防爆、泄压、防火、灭火、通风、防晒、调温、防毒、防雷、防静电、防腐、防尘、防噪声与振动、防辐射、防护围堤或者隔离操作等设施设备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(二)配备、维护、保养应急救援、应急处置、特种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"https://baike.so.com/"/doc/6691436-6905342.html/""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个人防护器材</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、设备、设施支出和应急演练支出;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(四)高新技术和特种专用设备安全鉴定评估、安全性能检验检测及操作人员上岗培训支出;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(五)安全生产检查、评价(不包括新建、改建、扩建项目安全评价)、咨询和标准化建设的支出;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(七)军工核设施(含核废物)防泄漏、防辐射的设施设备支出;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(八)军工危险化学品、放射性物品及武器装备科研、试验、生产、储运、销毁、维修保障过程中的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"https://baike.so.com/"/doc/5442566-5680915.html/""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安全技术措施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改造费和安全防护(不包括工作服)费用支出;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(九)大型复杂武器装备制造、安装、调试的特殊工种和特种作业人员培训支出;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(十)武器装备大型试验安全专项论证与安全防护费用支出;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(十一)特殊军工电子元器件制造过程中</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"https://baike.so.com/"/doc/5970900-6183857.html/""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有毒有害物质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监测及特种防护支出;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(十二)安全生产适用新技术、新标准、新工艺、新装备的推广应用支出;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(十三)其他与武器装备安全生产事项直接相关的支出。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在本办法规定的使用范围内，企业应当将安全费用优先用于满足安全生产监督管理部门、煤矿安全监察机构以及行业主管部门对企业安全生产提出的整改措施或者达到安全生产标准所需的支出。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企业提取的安全费用应当专户核算，按规定范围安排使用，不得挤占、挪用。年度结余资金结转下年度使用，当年计提安全费用不足的，超出部分按正常成本费用渠道列支。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主要承担安全管理责任的集团公司经过履行内部决策程序，可以对所属企业提取的安全费用按照一定比例集中管理，统筹使用。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煤炭生产企业和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"https://baike.so.com/"/doc/5633026-5845650.html/""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非煤矿山</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企业已提取维持简单再生产费用的，应当继续提取维持简单再生产费用，但其使用范围不再包含安全生产方面的用途。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矿山企业转产、停产、停业或者解散的，应当将安全费用结余转入矿山闭坑安全保障基金，用于矿山闭坑、尾矿库闭库后可能的危害治理和损失赔偿。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危险品生产与储存企业转产、停产、停业或者解散的，应当将安全费用结余用于处理转产、停产、停业或者解散前的危险品生产或者储存设备、库存产品及生产原料支出。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企业由于产权转让、公司制改建等变更股权结构或者组织形式的，其结余的安全费用应当继续按照本办法管理使用。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企业调整业务、终止经营或者依法清算，其结余的安全费用应当结转本期收益或者清算收益。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本办法第二条规定范围以外的企业为达到应当具备的安全生产条件所需的资金投入，按原渠道列支。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2" w:name="3354410-3531985-2_4"/>
      <w:bookmarkEnd w:id="2"/>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"https://baike.so.com/doc/3354410-3531985.html"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折叠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第四章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企业应当建立健全内部安全费用管理制度，明确安全费用提取和使用的程序、职责及权限，按规定提取和使用安全费用。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企业应当加强安全费用管理，编制年度安全费用提取和使用计划，纳入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"https://baike.so.com/"/doc/2253665-2384411.html/""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企业财务预算</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。企业年度安全费用使用计划和上一年安全费用的提取、使用情况按照管理权限报同级财政部门、安全生产监督管理部门、煤矿安全监察机构和行业主管部门备案。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企业安全费用的会计处理，应当符合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"https://baike.so.com/"/doc/6816408-7033424.html/""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国家统一的会计制度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企业提取的安全费用属于企业自提自用资金，其他单位和部门不得采取收取、代管等形式对其进行集中管理和使用，国家法律、法规另有规定的除外。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各级财政部门、安全生产监督管理部门、煤矿安全监察机构和有关行业主管部门依法对企业安全费用提取、使用和管理进行监督检查。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企业未按本办法提取和使用安全费用的，安全生产监督管理部门、煤矿安全监察机构和行业主管部门会同财政部门责令其限期改正，并依照相关法律法规进行处理、处罚。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建设工程施工总承包单位未向分包单位支付必要的安全费用以及承包单位挪用安全费用的，由建设、交通运输、铁路、水利、安全生产监督管理、煤矿安全监察等主管部门依照相关法规、规章进行处理、处罚。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各省级财政部门、安全生产监督管理部门、煤矿安全监察机构可以结合本地区实际情况，制定具体实施办法，并报财政部、国家安全生产监督管理总局备案。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3" w:name="3354410-3531985-2_5"/>
      <w:bookmarkEnd w:id="3"/>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"https://baike.so.com/doc/3354410-3531985.html"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折叠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本办法由财政部、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"https://baike.so.com/"/doc/5376042-5612155.html/""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国家安全生产监督管理总局</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实行企业化管理的事业单位参照本办法执行。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第四十条 本办法自公布之日起施行。《关于调整煤炭生产安全费用提取标准加强煤炭生产安全费用使用管理与监督的通知》(财建〔2005〕168号)、《关于印发〈烟花爆竹生产企业安全费用提取与使用管理办法〉的通知》(财建〔2006〕180号)和《关于印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"https://baike.so.com/"/doc/3083425-3249869.html/""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高危行业企业安全生产费用财务管理暂行办法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通知》(财企〔2006〕478号)同时废止。《关于印发&lt;煤炭生产安全费用提取和使用管理办法&gt;和&lt;关于规范煤矿维简费管理问题的若干规定&gt;的通知》(财建〔2004〕119号)等其他有关规定与本办法不一致的，以本办法为准。</w:t>
      </w:r>
    </w:p>
    <w:p>
      <w:pPr>
        <w:jc w:val="both"/>
        <w:rPr>
          <w:rFonts w:ascii="Arial" w:hAnsi="Arial" w:eastAsia="宋体" w:cs="Arial"/>
          <w:b/>
          <w:bCs/>
          <w:i w:val="0"/>
          <w:iCs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9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2022-11-30T06:00:20Z</dcterms:created>
  <dc:creator>Administrator</dc:creator>
  <cp:lastModifiedBy>Administrator</cp:lastModifiedBy>
  <dcterms:modified xsi:type="dcterms:W3CDTF">2022-11-30T06:05:14Z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471570B13B3548E68513E18AAB1AFD4E</vt:lpwstr>
  </property>
</Properties>
</file>